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2211" w14:textId="203F4386" w:rsidR="00412130" w:rsidRPr="00CB7FE0" w:rsidRDefault="00CB7FE0" w:rsidP="006B5319">
      <w:pPr>
        <w:jc w:val="right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２０２３</w:t>
      </w:r>
      <w:r w:rsidR="006B5319" w:rsidRPr="00CB7FE0">
        <w:rPr>
          <w:rFonts w:asciiTheme="minorEastAsia" w:hAnsiTheme="minorEastAsia" w:cs="Arial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６</w:t>
      </w:r>
      <w:r w:rsidR="006B5319" w:rsidRPr="00CB7FE0">
        <w:rPr>
          <w:rFonts w:asciiTheme="minorEastAsia" w:hAnsiTheme="minorEastAsia" w:cs="Arial"/>
          <w:sz w:val="24"/>
          <w:szCs w:val="24"/>
        </w:rPr>
        <w:t>月</w:t>
      </w:r>
      <w:r w:rsidR="000D2C01">
        <w:rPr>
          <w:rFonts w:asciiTheme="minorEastAsia" w:hAnsiTheme="minorEastAsia" w:cs="Arial" w:hint="eastAsia"/>
          <w:sz w:val="24"/>
          <w:szCs w:val="24"/>
        </w:rPr>
        <w:t>９</w:t>
      </w:r>
      <w:bookmarkStart w:id="0" w:name="_GoBack"/>
      <w:bookmarkEnd w:id="0"/>
      <w:r w:rsidR="006B5319" w:rsidRPr="00CB7FE0">
        <w:rPr>
          <w:rFonts w:asciiTheme="minorEastAsia" w:hAnsiTheme="minorEastAsia" w:cs="Arial"/>
          <w:sz w:val="24"/>
          <w:szCs w:val="24"/>
        </w:rPr>
        <w:t>日</w:t>
      </w:r>
    </w:p>
    <w:p w14:paraId="548393CE" w14:textId="77777777" w:rsidR="006B5319" w:rsidRPr="00CB7FE0" w:rsidRDefault="006B5319" w:rsidP="006B5319">
      <w:pPr>
        <w:jc w:val="center"/>
        <w:rPr>
          <w:rFonts w:asciiTheme="minorEastAsia" w:hAnsiTheme="minorEastAsia" w:cs="Arial"/>
          <w:sz w:val="24"/>
          <w:szCs w:val="24"/>
        </w:rPr>
      </w:pPr>
    </w:p>
    <w:p w14:paraId="164AEF8D" w14:textId="0EE02561" w:rsidR="00CB7FE0" w:rsidRPr="00CB7FE0" w:rsidRDefault="009554FA" w:rsidP="004119FF">
      <w:pPr>
        <w:jc w:val="center"/>
        <w:rPr>
          <w:rFonts w:asciiTheme="majorEastAsia" w:eastAsiaTheme="majorEastAsia" w:hAnsiTheme="majorEastAsia" w:cs="Arial"/>
          <w:sz w:val="32"/>
          <w:szCs w:val="32"/>
        </w:rPr>
      </w:pPr>
      <w:r w:rsidRPr="00CB7FE0">
        <w:rPr>
          <w:rFonts w:asciiTheme="majorEastAsia" w:eastAsiaTheme="majorEastAsia" w:hAnsiTheme="majorEastAsia" w:cs="Arial" w:hint="eastAsia"/>
          <w:sz w:val="32"/>
          <w:szCs w:val="32"/>
        </w:rPr>
        <w:t>独立行政法人国際協力機構（</w:t>
      </w:r>
      <w:r w:rsidR="00CB7FE0" w:rsidRPr="00CB7FE0">
        <w:rPr>
          <w:rFonts w:asciiTheme="majorEastAsia" w:eastAsiaTheme="majorEastAsia" w:hAnsiTheme="majorEastAsia" w:cs="Arial" w:hint="eastAsia"/>
          <w:sz w:val="32"/>
          <w:szCs w:val="32"/>
        </w:rPr>
        <w:t>ＪＩＣＡ</w:t>
      </w:r>
      <w:r w:rsidRPr="00CB7FE0">
        <w:rPr>
          <w:rFonts w:asciiTheme="majorEastAsia" w:eastAsiaTheme="majorEastAsia" w:hAnsiTheme="majorEastAsia" w:cs="Arial" w:hint="eastAsia"/>
          <w:sz w:val="32"/>
          <w:szCs w:val="32"/>
        </w:rPr>
        <w:t>）が発行する</w:t>
      </w:r>
    </w:p>
    <w:p w14:paraId="26BD3886" w14:textId="07E9255C" w:rsidR="009554FA" w:rsidRPr="00CB7FE0" w:rsidRDefault="00A702BD" w:rsidP="004119FF">
      <w:pPr>
        <w:jc w:val="center"/>
        <w:rPr>
          <w:rFonts w:asciiTheme="majorEastAsia" w:eastAsiaTheme="majorEastAsia" w:hAnsiTheme="majorEastAsia" w:cs="Arial"/>
          <w:sz w:val="32"/>
          <w:szCs w:val="32"/>
        </w:rPr>
      </w:pPr>
      <w:r w:rsidRPr="00CB7FE0">
        <w:rPr>
          <w:rFonts w:asciiTheme="majorEastAsia" w:eastAsiaTheme="majorEastAsia" w:hAnsiTheme="majorEastAsia" w:cs="Arial" w:hint="eastAsia"/>
          <w:sz w:val="32"/>
          <w:szCs w:val="32"/>
        </w:rPr>
        <w:t>「サステナビリティ</w:t>
      </w:r>
      <w:r w:rsidR="00800D11" w:rsidRPr="00CB7FE0">
        <w:rPr>
          <w:rFonts w:asciiTheme="majorEastAsia" w:eastAsiaTheme="majorEastAsia" w:hAnsiTheme="majorEastAsia" w:cs="Arial" w:hint="eastAsia"/>
          <w:sz w:val="32"/>
          <w:szCs w:val="32"/>
        </w:rPr>
        <w:t>ボンド</w:t>
      </w:r>
      <w:r w:rsidR="009554FA" w:rsidRPr="00CB7FE0">
        <w:rPr>
          <w:rFonts w:asciiTheme="majorEastAsia" w:eastAsiaTheme="majorEastAsia" w:hAnsiTheme="majorEastAsia" w:cs="Arial" w:hint="eastAsia"/>
          <w:sz w:val="32"/>
          <w:szCs w:val="32"/>
        </w:rPr>
        <w:t>」への投資について</w:t>
      </w:r>
    </w:p>
    <w:p w14:paraId="442E440C" w14:textId="77777777" w:rsidR="006B5319" w:rsidRPr="00CB7FE0" w:rsidRDefault="006B5319" w:rsidP="006B5319">
      <w:pPr>
        <w:jc w:val="center"/>
        <w:rPr>
          <w:rFonts w:asciiTheme="minorEastAsia" w:hAnsiTheme="minorEastAsia" w:cs="Arial"/>
          <w:sz w:val="24"/>
          <w:szCs w:val="24"/>
        </w:rPr>
      </w:pPr>
    </w:p>
    <w:p w14:paraId="3DF55242" w14:textId="55118F84" w:rsidR="006B5319" w:rsidRPr="00CB7FE0" w:rsidRDefault="009071D0" w:rsidP="00446B6A">
      <w:pPr>
        <w:ind w:firstLineChars="135" w:firstLine="324"/>
        <w:jc w:val="left"/>
        <w:rPr>
          <w:rFonts w:asciiTheme="minorEastAsia" w:hAnsiTheme="minorEastAsia" w:cs="Arial"/>
          <w:sz w:val="24"/>
          <w:szCs w:val="24"/>
        </w:rPr>
      </w:pPr>
      <w:r w:rsidRPr="00CB7FE0">
        <w:rPr>
          <w:rFonts w:asciiTheme="minorEastAsia" w:hAnsiTheme="minorEastAsia" w:cs="Arial" w:hint="eastAsia"/>
          <w:sz w:val="24"/>
          <w:szCs w:val="24"/>
        </w:rPr>
        <w:t>ひろしま農業協同組合</w:t>
      </w:r>
      <w:r w:rsidR="006B5319" w:rsidRPr="00CB7FE0">
        <w:rPr>
          <w:rFonts w:asciiTheme="minorEastAsia" w:hAnsiTheme="minorEastAsia" w:cs="Arial"/>
          <w:sz w:val="24"/>
          <w:szCs w:val="24"/>
        </w:rPr>
        <w:t>は、独立行政法人</w:t>
      </w:r>
      <w:r w:rsidR="00D663BD" w:rsidRPr="00CB7FE0">
        <w:rPr>
          <w:rFonts w:asciiTheme="minorEastAsia" w:hAnsiTheme="minorEastAsia" w:cs="Arial" w:hint="eastAsia"/>
          <w:sz w:val="24"/>
          <w:szCs w:val="24"/>
        </w:rPr>
        <w:t>国際協力</w:t>
      </w:r>
      <w:r w:rsidR="006B5319" w:rsidRPr="00CB7FE0">
        <w:rPr>
          <w:rFonts w:asciiTheme="minorEastAsia" w:hAnsiTheme="minorEastAsia" w:cs="Arial"/>
          <w:sz w:val="24"/>
          <w:szCs w:val="24"/>
        </w:rPr>
        <w:t>機構</w:t>
      </w:r>
      <w:r w:rsidRPr="00CB7FE0">
        <w:rPr>
          <w:rFonts w:asciiTheme="minorEastAsia" w:hAnsiTheme="minorEastAsia" w:cs="Arial" w:hint="eastAsia"/>
          <w:sz w:val="24"/>
          <w:szCs w:val="24"/>
        </w:rPr>
        <w:t>（</w:t>
      </w:r>
      <w:r w:rsidR="00D663BD" w:rsidRPr="00CB7FE0">
        <w:rPr>
          <w:rFonts w:asciiTheme="minorEastAsia" w:hAnsiTheme="minorEastAsia" w:cs="Arial" w:hint="eastAsia"/>
          <w:sz w:val="24"/>
          <w:szCs w:val="24"/>
        </w:rPr>
        <w:t>以下「</w:t>
      </w:r>
      <w:r w:rsidR="00CB7FE0">
        <w:rPr>
          <w:rFonts w:asciiTheme="minorEastAsia" w:hAnsiTheme="minorEastAsia" w:cs="Arial" w:hint="eastAsia"/>
          <w:sz w:val="24"/>
          <w:szCs w:val="24"/>
        </w:rPr>
        <w:t>ＪＩＣＡ</w:t>
      </w:r>
      <w:r w:rsidR="00D663BD" w:rsidRPr="00CB7FE0">
        <w:rPr>
          <w:rFonts w:asciiTheme="minorEastAsia" w:hAnsiTheme="minorEastAsia" w:cs="Arial" w:hint="eastAsia"/>
          <w:sz w:val="24"/>
          <w:szCs w:val="24"/>
        </w:rPr>
        <w:t>」）</w:t>
      </w:r>
      <w:r w:rsidR="00D663BD" w:rsidRPr="00CB7FE0">
        <w:rPr>
          <w:rFonts w:asciiTheme="minorEastAsia" w:hAnsiTheme="minorEastAsia" w:cs="Arial"/>
          <w:sz w:val="24"/>
          <w:szCs w:val="24"/>
        </w:rPr>
        <w:t>が</w:t>
      </w:r>
      <w:r w:rsidR="00CB7FE0">
        <w:rPr>
          <w:rFonts w:asciiTheme="minorEastAsia" w:hAnsiTheme="minorEastAsia" w:cs="Arial" w:hint="eastAsia"/>
          <w:sz w:val="24"/>
          <w:szCs w:val="24"/>
        </w:rPr>
        <w:t xml:space="preserve">　</w:t>
      </w:r>
      <w:r w:rsidR="00D663BD" w:rsidRPr="00CB7FE0">
        <w:rPr>
          <w:rFonts w:asciiTheme="minorEastAsia" w:hAnsiTheme="minorEastAsia" w:cs="Arial"/>
          <w:sz w:val="24"/>
          <w:szCs w:val="24"/>
        </w:rPr>
        <w:t>発行する「</w:t>
      </w:r>
      <w:r w:rsidR="00A702BD" w:rsidRPr="00CB7FE0">
        <w:rPr>
          <w:rFonts w:asciiTheme="minorEastAsia" w:hAnsiTheme="minorEastAsia" w:cs="Arial" w:hint="eastAsia"/>
          <w:sz w:val="24"/>
          <w:szCs w:val="24"/>
        </w:rPr>
        <w:t>サステナビリティ</w:t>
      </w:r>
      <w:r w:rsidR="006B5319" w:rsidRPr="00CB7FE0">
        <w:rPr>
          <w:rFonts w:asciiTheme="minorEastAsia" w:hAnsiTheme="minorEastAsia" w:cs="Arial"/>
          <w:sz w:val="24"/>
          <w:szCs w:val="24"/>
        </w:rPr>
        <w:t>ボンド」</w:t>
      </w:r>
      <w:r w:rsidR="00446B6A" w:rsidRPr="00CB7FE0">
        <w:rPr>
          <w:rFonts w:asciiTheme="minorEastAsia" w:hAnsiTheme="minorEastAsia" w:cs="Arial" w:hint="eastAsia"/>
          <w:sz w:val="24"/>
          <w:szCs w:val="24"/>
        </w:rPr>
        <w:t>に</w:t>
      </w:r>
      <w:r w:rsidR="006B5319" w:rsidRPr="00CB7FE0">
        <w:rPr>
          <w:rFonts w:asciiTheme="minorEastAsia" w:hAnsiTheme="minorEastAsia" w:cs="Arial"/>
          <w:sz w:val="24"/>
          <w:szCs w:val="24"/>
        </w:rPr>
        <w:t>投資</w:t>
      </w:r>
      <w:r w:rsidR="0033670F" w:rsidRPr="00CB7FE0">
        <w:rPr>
          <w:rFonts w:asciiTheme="minorEastAsia" w:hAnsiTheme="minorEastAsia" w:cs="Arial" w:hint="eastAsia"/>
          <w:sz w:val="24"/>
          <w:szCs w:val="24"/>
        </w:rPr>
        <w:t>したことを</w:t>
      </w:r>
      <w:r w:rsidR="00237D61" w:rsidRPr="00CB7FE0">
        <w:rPr>
          <w:rFonts w:asciiTheme="minorEastAsia" w:hAnsiTheme="minorEastAsia" w:cs="Arial"/>
          <w:sz w:val="24"/>
          <w:szCs w:val="24"/>
        </w:rPr>
        <w:t>お知らせします</w:t>
      </w:r>
      <w:r w:rsidR="006B5319" w:rsidRPr="00CB7FE0">
        <w:rPr>
          <w:rFonts w:asciiTheme="minorEastAsia" w:hAnsiTheme="minorEastAsia" w:cs="Arial"/>
          <w:sz w:val="24"/>
          <w:szCs w:val="24"/>
        </w:rPr>
        <w:t>。</w:t>
      </w:r>
    </w:p>
    <w:p w14:paraId="076175E9" w14:textId="77777777" w:rsidR="00237D61" w:rsidRPr="00CB7FE0" w:rsidRDefault="00237D61" w:rsidP="00D663BD">
      <w:pPr>
        <w:jc w:val="left"/>
        <w:rPr>
          <w:rFonts w:asciiTheme="minorEastAsia" w:hAnsiTheme="minorEastAsia" w:cs="Arial"/>
          <w:sz w:val="24"/>
          <w:szCs w:val="24"/>
        </w:rPr>
      </w:pPr>
    </w:p>
    <w:p w14:paraId="72B6CE1E" w14:textId="77777777" w:rsidR="00CB7FE0" w:rsidRPr="00CB7FE0" w:rsidRDefault="00800D11" w:rsidP="00446B6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Arial"/>
          <w:sz w:val="24"/>
          <w:szCs w:val="24"/>
        </w:rPr>
      </w:pPr>
      <w:r w:rsidRPr="00CB7FE0">
        <w:rPr>
          <w:rFonts w:asciiTheme="minorEastAsia" w:hAnsiTheme="minorEastAsia" w:cs="Arial"/>
          <w:sz w:val="24"/>
          <w:szCs w:val="24"/>
        </w:rPr>
        <w:t>「</w:t>
      </w:r>
      <w:r w:rsidR="00526F10" w:rsidRPr="00CB7FE0">
        <w:rPr>
          <w:rFonts w:asciiTheme="minorEastAsia" w:hAnsiTheme="minorEastAsia" w:cs="Arial" w:hint="eastAsia"/>
          <w:sz w:val="24"/>
          <w:szCs w:val="24"/>
        </w:rPr>
        <w:t>サステナビリティ</w:t>
      </w:r>
      <w:r w:rsidRPr="00CB7FE0">
        <w:rPr>
          <w:rFonts w:asciiTheme="minorEastAsia" w:hAnsiTheme="minorEastAsia" w:cs="Arial" w:hint="eastAsia"/>
          <w:sz w:val="24"/>
          <w:szCs w:val="24"/>
        </w:rPr>
        <w:t>ボンド</w:t>
      </w:r>
      <w:r w:rsidRPr="00CB7FE0">
        <w:rPr>
          <w:rFonts w:asciiTheme="minorEastAsia" w:hAnsiTheme="minorEastAsia" w:cs="Arial"/>
          <w:sz w:val="24"/>
          <w:szCs w:val="24"/>
        </w:rPr>
        <w:t>」とは、</w:t>
      </w:r>
      <w:r w:rsidR="00526F10" w:rsidRPr="00CB7FE0">
        <w:rPr>
          <w:rFonts w:asciiTheme="minorEastAsia" w:hAnsiTheme="minorEastAsia" w:cs="Arial" w:hint="eastAsia"/>
          <w:sz w:val="24"/>
          <w:szCs w:val="24"/>
        </w:rPr>
        <w:t>調達資金の使途が、環境改善効果があること（グリーン性）及び、社会的課題の解決に資するものであること（ソーシャル性）の双方を有する債券です。</w:t>
      </w:r>
    </w:p>
    <w:p w14:paraId="40F52D82" w14:textId="327CA446" w:rsidR="00800D11" w:rsidRPr="00CB7FE0" w:rsidRDefault="0033670F" w:rsidP="00446B6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Arial"/>
          <w:szCs w:val="21"/>
        </w:rPr>
      </w:pPr>
      <w:r w:rsidRPr="00CB7FE0">
        <w:rPr>
          <w:rFonts w:asciiTheme="minorEastAsia" w:hAnsiTheme="minorEastAsia" w:cs="Arial" w:hint="eastAsia"/>
          <w:szCs w:val="21"/>
        </w:rPr>
        <w:t>※</w:t>
      </w:r>
      <w:r w:rsidR="00800D11" w:rsidRPr="00CB7FE0">
        <w:rPr>
          <w:rFonts w:asciiTheme="minorEastAsia" w:hAnsiTheme="minorEastAsia" w:hint="eastAsia"/>
          <w:szCs w:val="21"/>
        </w:rPr>
        <w:t>JICA</w:t>
      </w:r>
      <w:r w:rsidR="00AC09E1" w:rsidRPr="00CB7FE0">
        <w:rPr>
          <w:rFonts w:asciiTheme="minorEastAsia" w:hAnsiTheme="minorEastAsia" w:hint="eastAsia"/>
          <w:szCs w:val="21"/>
        </w:rPr>
        <w:t>のサステナビリティボンド</w:t>
      </w:r>
      <w:r w:rsidR="00800D11" w:rsidRPr="00CB7FE0">
        <w:rPr>
          <w:rFonts w:asciiTheme="minorEastAsia" w:hAnsiTheme="minorEastAsia" w:hint="eastAsia"/>
          <w:szCs w:val="21"/>
        </w:rPr>
        <w:t>は</w:t>
      </w:r>
      <w:r w:rsidR="00AC09E1" w:rsidRPr="00CB7FE0">
        <w:rPr>
          <w:rFonts w:asciiTheme="minorEastAsia" w:hAnsiTheme="minorEastAsia" w:hint="eastAsia"/>
          <w:szCs w:val="21"/>
        </w:rPr>
        <w:t>、</w:t>
      </w:r>
      <w:r w:rsidR="00800D11" w:rsidRPr="00CB7FE0">
        <w:rPr>
          <w:rFonts w:asciiTheme="minorEastAsia" w:hAnsiTheme="minorEastAsia" w:hint="eastAsia"/>
          <w:szCs w:val="21"/>
        </w:rPr>
        <w:t>独立した第三者機関である</w:t>
      </w:r>
      <w:r w:rsidR="00526F10" w:rsidRPr="00CB7FE0">
        <w:rPr>
          <w:rFonts w:asciiTheme="minorEastAsia" w:hAnsiTheme="minorEastAsia"/>
          <w:color w:val="000000" w:themeColor="text1"/>
          <w:kern w:val="24"/>
          <w:szCs w:val="21"/>
        </w:rPr>
        <w:t>Moody's</w:t>
      </w:r>
      <w:r w:rsidR="00800D11" w:rsidRPr="00CB7FE0">
        <w:rPr>
          <w:rFonts w:asciiTheme="minorEastAsia" w:hAnsiTheme="minorEastAsia" w:hint="eastAsia"/>
          <w:szCs w:val="21"/>
        </w:rPr>
        <w:t>より、国際資本市場協会（International Capital Market</w:t>
      </w:r>
      <w:r w:rsidR="00446B6A" w:rsidRPr="00CB7FE0">
        <w:rPr>
          <w:rFonts w:asciiTheme="minorEastAsia" w:hAnsiTheme="minorEastAsia"/>
          <w:szCs w:val="21"/>
        </w:rPr>
        <w:t xml:space="preserve"> </w:t>
      </w:r>
      <w:r w:rsidR="00800D11" w:rsidRPr="00CB7FE0">
        <w:rPr>
          <w:rFonts w:asciiTheme="minorEastAsia" w:hAnsiTheme="minorEastAsia" w:hint="eastAsia"/>
          <w:szCs w:val="21"/>
        </w:rPr>
        <w:t>Association: ICMA）が定義する</w:t>
      </w:r>
      <w:r w:rsidR="00526F10" w:rsidRPr="00CB7FE0">
        <w:rPr>
          <w:rFonts w:asciiTheme="minorEastAsia" w:hAnsiTheme="minorEastAsia" w:hint="eastAsia"/>
          <w:szCs w:val="21"/>
        </w:rPr>
        <w:t>サステナビリティボンド</w:t>
      </w:r>
      <w:r w:rsidR="00800D11" w:rsidRPr="00CB7FE0">
        <w:rPr>
          <w:rFonts w:asciiTheme="minorEastAsia" w:hAnsiTheme="minorEastAsia" w:hint="eastAsia"/>
          <w:szCs w:val="21"/>
        </w:rPr>
        <w:t>の特性に従った債券である旨のセカンド</w:t>
      </w:r>
      <w:r w:rsidR="00AB75F7" w:rsidRPr="00CB7FE0">
        <w:rPr>
          <w:rFonts w:asciiTheme="minorEastAsia" w:hAnsiTheme="minorEastAsia" w:hint="eastAsia"/>
          <w:szCs w:val="21"/>
        </w:rPr>
        <w:t>パーティー</w:t>
      </w:r>
      <w:r w:rsidR="00800D11" w:rsidRPr="00CB7FE0">
        <w:rPr>
          <w:rFonts w:asciiTheme="minorEastAsia" w:hAnsiTheme="minorEastAsia" w:hint="eastAsia"/>
          <w:szCs w:val="21"/>
        </w:rPr>
        <w:t>オピニオンを付与されています。</w:t>
      </w:r>
    </w:p>
    <w:p w14:paraId="18DFA11B" w14:textId="7F7F2161" w:rsidR="00E46495" w:rsidRPr="00CB7FE0" w:rsidRDefault="00E46495" w:rsidP="0026245C">
      <w:pPr>
        <w:autoSpaceDE w:val="0"/>
        <w:autoSpaceDN w:val="0"/>
        <w:adjustRightInd w:val="0"/>
        <w:jc w:val="left"/>
        <w:rPr>
          <w:rFonts w:asciiTheme="minorEastAsia" w:hAnsiTheme="minorEastAsia" w:cs="Arial"/>
          <w:sz w:val="24"/>
          <w:szCs w:val="24"/>
        </w:rPr>
      </w:pPr>
    </w:p>
    <w:p w14:paraId="1BF9B6DB" w14:textId="2C58593A" w:rsidR="0026245C" w:rsidRPr="00CB7FE0" w:rsidRDefault="00CB7FE0" w:rsidP="004119F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ＪＩＣＡ</w:t>
      </w:r>
      <w:r w:rsidR="00AC09E1" w:rsidRPr="00CB7FE0">
        <w:rPr>
          <w:rFonts w:asciiTheme="minorEastAsia" w:hAnsiTheme="minorEastAsia" w:hint="eastAsia"/>
          <w:sz w:val="24"/>
          <w:szCs w:val="24"/>
        </w:rPr>
        <w:t>のサステナビリティボンド</w:t>
      </w:r>
      <w:r w:rsidR="00800D11" w:rsidRPr="00CB7FE0">
        <w:rPr>
          <w:rFonts w:asciiTheme="minorEastAsia" w:hAnsiTheme="minorEastAsia" w:hint="eastAsia"/>
          <w:sz w:val="24"/>
          <w:szCs w:val="24"/>
        </w:rPr>
        <w:t>で調達された資金は全額が</w:t>
      </w:r>
      <w:r>
        <w:rPr>
          <w:rFonts w:asciiTheme="minorEastAsia" w:hAnsiTheme="minorEastAsia" w:hint="eastAsia"/>
          <w:sz w:val="24"/>
          <w:szCs w:val="24"/>
        </w:rPr>
        <w:t>ＪＩＣＡ</w:t>
      </w:r>
      <w:r w:rsidR="00800D11" w:rsidRPr="00CB7FE0">
        <w:rPr>
          <w:rFonts w:asciiTheme="minorEastAsia" w:hAnsiTheme="minorEastAsia" w:hint="eastAsia"/>
          <w:sz w:val="24"/>
          <w:szCs w:val="24"/>
        </w:rPr>
        <w:t>の実施する有償資金協力事業に充てられ、開発途上国の社会</w:t>
      </w:r>
      <w:r w:rsidR="00AC09E1" w:rsidRPr="00CB7FE0">
        <w:rPr>
          <w:rFonts w:asciiTheme="minorEastAsia" w:hAnsiTheme="minorEastAsia" w:hint="eastAsia"/>
          <w:sz w:val="24"/>
          <w:szCs w:val="24"/>
        </w:rPr>
        <w:t>的</w:t>
      </w:r>
      <w:r w:rsidR="00800D11" w:rsidRPr="00CB7FE0">
        <w:rPr>
          <w:rFonts w:asciiTheme="minorEastAsia" w:hAnsiTheme="minorEastAsia" w:hint="eastAsia"/>
          <w:sz w:val="24"/>
          <w:szCs w:val="24"/>
        </w:rPr>
        <w:t>課題</w:t>
      </w:r>
      <w:r w:rsidR="00AC09E1" w:rsidRPr="00CB7FE0">
        <w:rPr>
          <w:rFonts w:asciiTheme="minorEastAsia" w:hAnsiTheme="minorEastAsia" w:hint="eastAsia"/>
          <w:sz w:val="24"/>
          <w:szCs w:val="24"/>
        </w:rPr>
        <w:t>や</w:t>
      </w:r>
      <w:r w:rsidR="00A74E80" w:rsidRPr="00CB7FE0">
        <w:rPr>
          <w:rFonts w:asciiTheme="minorEastAsia" w:hAnsiTheme="minorEastAsia"/>
          <w:sz w:val="24"/>
          <w:szCs w:val="24"/>
        </w:rPr>
        <w:t>環境面の課題解決に貢献する</w:t>
      </w:r>
      <w:r w:rsidR="006023AC" w:rsidRPr="00CB7FE0">
        <w:rPr>
          <w:rFonts w:asciiTheme="minorEastAsia" w:hAnsiTheme="minorEastAsia" w:hint="eastAsia"/>
          <w:sz w:val="24"/>
          <w:szCs w:val="24"/>
        </w:rPr>
        <w:t>出</w:t>
      </w:r>
      <w:r w:rsidR="00800D11" w:rsidRPr="00CB7FE0">
        <w:rPr>
          <w:rFonts w:asciiTheme="minorEastAsia" w:hAnsiTheme="minorEastAsia" w:hint="eastAsia"/>
          <w:sz w:val="24"/>
          <w:szCs w:val="24"/>
        </w:rPr>
        <w:t>融資に活用されます。</w:t>
      </w:r>
      <w:r w:rsidR="004119FF" w:rsidRPr="00CB7FE0">
        <w:rPr>
          <w:rFonts w:asciiTheme="minorEastAsia" w:hAnsiTheme="minorEastAsia" w:hint="eastAsia"/>
          <w:sz w:val="24"/>
          <w:szCs w:val="24"/>
        </w:rPr>
        <w:t>また、</w:t>
      </w:r>
      <w:r>
        <w:rPr>
          <w:rFonts w:asciiTheme="minorEastAsia" w:hAnsiTheme="minorEastAsia" w:hint="eastAsia"/>
          <w:sz w:val="24"/>
          <w:szCs w:val="24"/>
        </w:rPr>
        <w:t>ＪＩＣＡ</w:t>
      </w:r>
      <w:r w:rsidR="009423F5" w:rsidRPr="00CB7FE0">
        <w:rPr>
          <w:rFonts w:asciiTheme="minorEastAsia" w:hAnsiTheme="minorEastAsia" w:cs="Arial" w:hint="eastAsia"/>
          <w:sz w:val="24"/>
          <w:szCs w:val="24"/>
        </w:rPr>
        <w:t>債の発行は</w:t>
      </w:r>
      <w:r w:rsidR="00B94663" w:rsidRPr="00CB7FE0">
        <w:rPr>
          <w:rFonts w:asciiTheme="minorEastAsia" w:hAnsiTheme="minorEastAsia" w:cs="Arial" w:hint="eastAsia"/>
          <w:sz w:val="24"/>
          <w:szCs w:val="24"/>
        </w:rPr>
        <w:t>、</w:t>
      </w:r>
      <w:r w:rsidR="009423F5" w:rsidRPr="00CB7FE0">
        <w:rPr>
          <w:rFonts w:asciiTheme="minorEastAsia" w:hAnsiTheme="minorEastAsia" w:cs="Arial" w:hint="eastAsia"/>
          <w:sz w:val="24"/>
          <w:szCs w:val="24"/>
        </w:rPr>
        <w:t>日本政府の</w:t>
      </w:r>
      <w:r>
        <w:rPr>
          <w:rFonts w:asciiTheme="minorEastAsia" w:hAnsiTheme="minorEastAsia" w:cs="Arial" w:hint="eastAsia"/>
          <w:sz w:val="24"/>
          <w:szCs w:val="24"/>
        </w:rPr>
        <w:t>ＳＤＧｓ</w:t>
      </w:r>
      <w:r w:rsidR="00B94663" w:rsidRPr="00CB7FE0">
        <w:rPr>
          <w:rFonts w:asciiTheme="minorEastAsia" w:hAnsiTheme="minorEastAsia" w:cs="Arial" w:hint="eastAsia"/>
          <w:sz w:val="24"/>
          <w:szCs w:val="24"/>
        </w:rPr>
        <w:t>達成に向けた実施指針である</w:t>
      </w:r>
      <w:r w:rsidR="009423F5" w:rsidRPr="00CB7FE0">
        <w:rPr>
          <w:rFonts w:asciiTheme="minorEastAsia" w:hAnsiTheme="minorEastAsia" w:cs="Arial" w:hint="eastAsia"/>
          <w:sz w:val="24"/>
          <w:szCs w:val="24"/>
        </w:rPr>
        <w:t>「持続可能な</w:t>
      </w:r>
      <w:r w:rsidR="008859F4" w:rsidRPr="00CB7FE0">
        <w:rPr>
          <w:rFonts w:asciiTheme="minorEastAsia" w:hAnsiTheme="minorEastAsia" w:cs="Arial" w:hint="eastAsia"/>
          <w:sz w:val="24"/>
          <w:szCs w:val="24"/>
        </w:rPr>
        <w:t>開発</w:t>
      </w:r>
      <w:r w:rsidR="009423F5" w:rsidRPr="00CB7FE0">
        <w:rPr>
          <w:rFonts w:asciiTheme="minorEastAsia" w:hAnsiTheme="minorEastAsia" w:cs="Arial" w:hint="eastAsia"/>
          <w:sz w:val="24"/>
          <w:szCs w:val="24"/>
        </w:rPr>
        <w:t>目標（</w:t>
      </w:r>
      <w:r>
        <w:rPr>
          <w:rFonts w:asciiTheme="minorEastAsia" w:hAnsiTheme="minorEastAsia" w:cs="Arial" w:hint="eastAsia"/>
          <w:sz w:val="24"/>
          <w:szCs w:val="24"/>
        </w:rPr>
        <w:t>ＳＤＧｓ</w:t>
      </w:r>
      <w:r w:rsidR="009423F5" w:rsidRPr="00CB7FE0">
        <w:rPr>
          <w:rFonts w:asciiTheme="minorEastAsia" w:hAnsiTheme="minorEastAsia" w:cs="Arial" w:hint="eastAsia"/>
          <w:sz w:val="24"/>
          <w:szCs w:val="24"/>
        </w:rPr>
        <w:t>）実施指針」に</w:t>
      </w:r>
      <w:r w:rsidR="00B94663" w:rsidRPr="00CB7FE0">
        <w:rPr>
          <w:rFonts w:asciiTheme="minorEastAsia" w:hAnsiTheme="minorEastAsia" w:cs="Arial" w:hint="eastAsia"/>
          <w:sz w:val="24"/>
          <w:szCs w:val="24"/>
        </w:rPr>
        <w:t>おいて</w:t>
      </w:r>
      <w:r w:rsidR="009423F5" w:rsidRPr="00CB7FE0">
        <w:rPr>
          <w:rFonts w:asciiTheme="minorEastAsia" w:hAnsiTheme="minorEastAsia" w:cs="Arial" w:hint="eastAsia"/>
          <w:sz w:val="24"/>
          <w:szCs w:val="24"/>
        </w:rPr>
        <w:t>具体的な施策の1つに</w:t>
      </w:r>
      <w:r w:rsidR="00B94663" w:rsidRPr="00CB7FE0">
        <w:rPr>
          <w:rFonts w:asciiTheme="minorEastAsia" w:hAnsiTheme="minorEastAsia" w:cs="Arial" w:hint="eastAsia"/>
          <w:sz w:val="24"/>
          <w:szCs w:val="24"/>
        </w:rPr>
        <w:t>位置付けられ</w:t>
      </w:r>
      <w:r w:rsidR="0033670F" w:rsidRPr="00CB7FE0">
        <w:rPr>
          <w:rFonts w:asciiTheme="minorEastAsia" w:hAnsiTheme="minorEastAsia" w:cs="Arial" w:hint="eastAsia"/>
          <w:sz w:val="24"/>
          <w:szCs w:val="24"/>
        </w:rPr>
        <w:t>ています</w:t>
      </w:r>
      <w:r w:rsidR="00B94663" w:rsidRPr="00CB7FE0">
        <w:rPr>
          <w:rFonts w:asciiTheme="minorEastAsia" w:hAnsiTheme="minorEastAsia" w:cs="Arial" w:hint="eastAsia"/>
          <w:sz w:val="24"/>
          <w:szCs w:val="24"/>
        </w:rPr>
        <w:t>。</w:t>
      </w:r>
    </w:p>
    <w:p w14:paraId="55E8B6BD" w14:textId="3A031C0F" w:rsidR="009423F5" w:rsidRPr="00CB7FE0" w:rsidRDefault="009423F5" w:rsidP="0026245C">
      <w:pPr>
        <w:autoSpaceDE w:val="0"/>
        <w:autoSpaceDN w:val="0"/>
        <w:adjustRightInd w:val="0"/>
        <w:jc w:val="left"/>
        <w:rPr>
          <w:rFonts w:asciiTheme="minorEastAsia" w:hAnsiTheme="minorEastAsia" w:cs="Arial"/>
          <w:sz w:val="24"/>
          <w:szCs w:val="24"/>
        </w:rPr>
      </w:pPr>
    </w:p>
    <w:p w14:paraId="7F3351E0" w14:textId="15BD08E4" w:rsidR="00D10823" w:rsidRPr="00CB7FE0" w:rsidRDefault="00D10823" w:rsidP="0026245C">
      <w:pPr>
        <w:autoSpaceDE w:val="0"/>
        <w:autoSpaceDN w:val="0"/>
        <w:adjustRightInd w:val="0"/>
        <w:jc w:val="left"/>
        <w:rPr>
          <w:rFonts w:asciiTheme="minorEastAsia" w:hAnsiTheme="minorEastAsia" w:cs="Arial"/>
          <w:sz w:val="24"/>
          <w:szCs w:val="24"/>
        </w:rPr>
      </w:pPr>
      <w:r w:rsidRPr="00CB7FE0">
        <w:rPr>
          <w:rFonts w:asciiTheme="minorEastAsia" w:hAnsiTheme="minorEastAsia" w:cs="Arial" w:hint="eastAsia"/>
          <w:sz w:val="24"/>
          <w:szCs w:val="24"/>
        </w:rPr>
        <w:t xml:space="preserve">　</w:t>
      </w:r>
      <w:r w:rsidR="00CB7FE0">
        <w:rPr>
          <w:rFonts w:asciiTheme="minorEastAsia" w:hAnsiTheme="minorEastAsia" w:cs="Arial" w:hint="eastAsia"/>
          <w:sz w:val="24"/>
          <w:szCs w:val="24"/>
        </w:rPr>
        <w:t>ＪＩＣＡ</w:t>
      </w:r>
      <w:r w:rsidRPr="00CB7FE0">
        <w:rPr>
          <w:rFonts w:asciiTheme="minorEastAsia" w:hAnsiTheme="minorEastAsia" w:cs="Arial" w:hint="eastAsia"/>
          <w:sz w:val="24"/>
          <w:szCs w:val="24"/>
        </w:rPr>
        <w:t>債への投資が発展途上国の発展支援へ繋がること、国際経済社会の健全な発展に寄与す</w:t>
      </w:r>
      <w:r w:rsidR="00C31164" w:rsidRPr="00CB7FE0">
        <w:rPr>
          <w:rFonts w:asciiTheme="minorEastAsia" w:hAnsiTheme="minorEastAsia" w:cs="Arial" w:hint="eastAsia"/>
          <w:sz w:val="24"/>
          <w:szCs w:val="24"/>
        </w:rPr>
        <w:t>る</w:t>
      </w:r>
      <w:r w:rsidRPr="00CB7FE0">
        <w:rPr>
          <w:rFonts w:asciiTheme="minorEastAsia" w:hAnsiTheme="minorEastAsia" w:cs="Arial" w:hint="eastAsia"/>
          <w:sz w:val="24"/>
          <w:szCs w:val="24"/>
        </w:rPr>
        <w:t>ことを願って本債券への投資を行うことといたしました。</w:t>
      </w:r>
    </w:p>
    <w:p w14:paraId="48660C0F" w14:textId="77777777" w:rsidR="00446B6A" w:rsidRPr="00CB7FE0" w:rsidRDefault="00446B6A" w:rsidP="00446B6A">
      <w:pPr>
        <w:autoSpaceDE w:val="0"/>
        <w:autoSpaceDN w:val="0"/>
        <w:adjustRightInd w:val="0"/>
        <w:jc w:val="left"/>
        <w:rPr>
          <w:rFonts w:asciiTheme="minorEastAsia" w:hAnsiTheme="minorEastAsia" w:cs="Arial"/>
          <w:sz w:val="24"/>
          <w:szCs w:val="24"/>
        </w:rPr>
      </w:pPr>
    </w:p>
    <w:p w14:paraId="2FA0CCFD" w14:textId="35D1B052" w:rsidR="00D10823" w:rsidRPr="00CB7FE0" w:rsidRDefault="00D10823" w:rsidP="00C3116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Arial"/>
          <w:sz w:val="24"/>
          <w:szCs w:val="24"/>
        </w:rPr>
      </w:pPr>
      <w:r w:rsidRPr="00CB7FE0">
        <w:rPr>
          <w:rFonts w:asciiTheme="minorEastAsia" w:hAnsiTheme="minorEastAsia" w:cs="Arial" w:hint="eastAsia"/>
          <w:sz w:val="24"/>
          <w:szCs w:val="24"/>
        </w:rPr>
        <w:t>引き続き</w:t>
      </w:r>
      <w:r w:rsidR="00C31164" w:rsidRPr="00CB7FE0">
        <w:rPr>
          <w:rFonts w:asciiTheme="minorEastAsia" w:hAnsiTheme="minorEastAsia" w:cs="Arial" w:hint="eastAsia"/>
          <w:sz w:val="24"/>
          <w:szCs w:val="24"/>
        </w:rPr>
        <w:t>、</w:t>
      </w:r>
      <w:r w:rsidRPr="00CB7FE0">
        <w:rPr>
          <w:rFonts w:asciiTheme="minorEastAsia" w:hAnsiTheme="minorEastAsia" w:cs="Arial" w:hint="eastAsia"/>
          <w:sz w:val="24"/>
          <w:szCs w:val="24"/>
        </w:rPr>
        <w:t>農業協同組合として社会貢献</w:t>
      </w:r>
      <w:r w:rsidR="00C31164" w:rsidRPr="00CB7FE0">
        <w:rPr>
          <w:rFonts w:asciiTheme="minorEastAsia" w:hAnsiTheme="minorEastAsia" w:cs="Arial" w:hint="eastAsia"/>
          <w:sz w:val="24"/>
          <w:szCs w:val="24"/>
        </w:rPr>
        <w:t>活動に取り組んでまいります</w:t>
      </w:r>
      <w:r w:rsidRPr="00CB7FE0">
        <w:rPr>
          <w:rFonts w:asciiTheme="minorEastAsia" w:hAnsiTheme="minorEastAsia" w:cs="Arial" w:hint="eastAsia"/>
          <w:sz w:val="24"/>
          <w:szCs w:val="24"/>
        </w:rPr>
        <w:t>。</w:t>
      </w:r>
    </w:p>
    <w:p w14:paraId="0817F213" w14:textId="65DE7490" w:rsidR="00AB101A" w:rsidRPr="00AB101A" w:rsidRDefault="00AB101A" w:rsidP="009071D0">
      <w:pPr>
        <w:jc w:val="center"/>
        <w:rPr>
          <w:rFonts w:ascii="ＭＳ ゴシック" w:eastAsia="ＭＳ ゴシック" w:hAnsi="ＭＳ ゴシック"/>
          <w:szCs w:val="44"/>
        </w:rPr>
      </w:pPr>
    </w:p>
    <w:p w14:paraId="2357BC57" w14:textId="222A9F0B" w:rsidR="009071D0" w:rsidRPr="009071D0" w:rsidRDefault="0033670F" w:rsidP="0033670F">
      <w:pPr>
        <w:jc w:val="center"/>
        <w:rPr>
          <w:rFonts w:ascii="ＭＳ ゴシック" w:eastAsia="ＭＳ ゴシック" w:hAnsi="ＭＳ ゴシック"/>
          <w:b/>
          <w:sz w:val="16"/>
          <w:szCs w:val="24"/>
        </w:rPr>
      </w:pPr>
      <w:r w:rsidRPr="00AB101A">
        <w:rPr>
          <w:rFonts w:ascii="ＭＳ ゴシック" w:eastAsia="ＭＳ ゴシック" w:hAnsi="ＭＳ ゴシック"/>
          <w:noProof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F40DE" wp14:editId="1688DFB4">
                <wp:simplePos x="0" y="0"/>
                <wp:positionH relativeFrom="margin">
                  <wp:posOffset>-176530</wp:posOffset>
                </wp:positionH>
                <wp:positionV relativeFrom="paragraph">
                  <wp:posOffset>109219</wp:posOffset>
                </wp:positionV>
                <wp:extent cx="6105525" cy="2600325"/>
                <wp:effectExtent l="19050" t="19050" r="47625" b="4762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2600325"/>
                        </a:xfrm>
                        <a:prstGeom prst="roundRect">
                          <a:avLst>
                            <a:gd name="adj" fmla="val 5083"/>
                          </a:avLst>
                        </a:prstGeom>
                        <a:noFill/>
                        <a:ln w="63500" cmpd="thickThin" algn="ctr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3FD0E4C" id="四角形: 角を丸くする 4" o:spid="_x0000_s1026" style="position:absolute;left:0;text-align:left;margin-left:-13.9pt;margin-top:8.6pt;width:480.75pt;height:20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" filled="f" strokecolor="#ed7d31" strokeweight="5pt">
                <v:stroke linestyle="thickThin"/>
                <v:shadow color="#868686"/>
                <v:textbox inset="5.85pt,.7pt,5.85pt,.7pt"/>
                <w10:wrap anchorx="margin"/>
              </v:roundrect>
            </w:pict>
          </mc:Fallback>
        </mc:AlternateContent>
      </w:r>
    </w:p>
    <w:p w14:paraId="77E12ACC" w14:textId="1BA972C8" w:rsidR="009071D0" w:rsidRPr="009071D0" w:rsidRDefault="009071D0" w:rsidP="009071D0">
      <w:pPr>
        <w:pStyle w:val="af0"/>
        <w:rPr>
          <w:rFonts w:ascii="ＭＳ ゴシック" w:eastAsia="ＭＳ ゴシック" w:hAnsi="ＭＳ ゴシック"/>
          <w:sz w:val="16"/>
          <w:szCs w:val="21"/>
        </w:rPr>
      </w:pPr>
      <w:r w:rsidRPr="009071D0">
        <w:rPr>
          <w:rFonts w:ascii="ＭＳ ゴシック" w:eastAsia="ＭＳ ゴシック" w:hAnsi="ＭＳ ゴシック" w:hint="eastAsia"/>
          <w:sz w:val="16"/>
          <w:szCs w:val="21"/>
        </w:rPr>
        <w:t>ＳＤＧｓとは（エス・ディ―・ジーズと読みます。）</w:t>
      </w:r>
    </w:p>
    <w:p w14:paraId="1433C21B" w14:textId="77777777" w:rsidR="009071D0" w:rsidRPr="009071D0" w:rsidRDefault="009071D0" w:rsidP="009071D0">
      <w:pPr>
        <w:pStyle w:val="af0"/>
        <w:ind w:firstLineChars="100" w:firstLine="160"/>
        <w:rPr>
          <w:rFonts w:ascii="ＭＳ 明朝" w:eastAsia="ＭＳ 明朝" w:hAnsi="ＭＳ 明朝"/>
          <w:sz w:val="16"/>
          <w:szCs w:val="21"/>
        </w:rPr>
      </w:pPr>
      <w:r w:rsidRPr="009071D0">
        <w:rPr>
          <w:rFonts w:ascii="ＭＳ 明朝" w:eastAsia="ＭＳ 明朝" w:hAnsi="ＭＳ 明朝" w:hint="eastAsia"/>
          <w:sz w:val="16"/>
          <w:szCs w:val="21"/>
        </w:rPr>
        <w:t>持続可能な開発目標（SDGs：</w:t>
      </w:r>
      <w:r w:rsidRPr="009071D0">
        <w:rPr>
          <w:rFonts w:ascii="ＭＳ 明朝" w:eastAsia="ＭＳ 明朝" w:hAnsi="ＭＳ 明朝" w:hint="eastAsia"/>
          <w:sz w:val="16"/>
          <w:szCs w:val="21"/>
          <w:lang w:val="en"/>
        </w:rPr>
        <w:t>Sustainable Development Goals</w:t>
      </w:r>
      <w:r w:rsidRPr="009071D0">
        <w:rPr>
          <w:rFonts w:ascii="ＭＳ 明朝" w:eastAsia="ＭＳ 明朝" w:hAnsi="ＭＳ 明朝" w:hint="eastAsia"/>
          <w:sz w:val="16"/>
          <w:szCs w:val="21"/>
        </w:rPr>
        <w:t>）のことで，2015年9月の国連サミットで加盟国の全会一致で採択され，2030年までに持続可能でよりよい世界を目指す国際目標です。17のゴール・169のターゲットから構成され，地球上の「誰一人取り残さない（</w:t>
      </w:r>
      <w:r w:rsidRPr="009071D0">
        <w:rPr>
          <w:rFonts w:ascii="ＭＳ 明朝" w:eastAsia="ＭＳ 明朝" w:hAnsi="ＭＳ 明朝" w:hint="eastAsia"/>
          <w:sz w:val="16"/>
          <w:szCs w:val="21"/>
          <w:lang w:val="en"/>
        </w:rPr>
        <w:t>leave no one behind</w:t>
      </w:r>
      <w:r w:rsidRPr="009071D0">
        <w:rPr>
          <w:rFonts w:ascii="ＭＳ 明朝" w:eastAsia="ＭＳ 明朝" w:hAnsi="ＭＳ 明朝" w:hint="eastAsia"/>
          <w:sz w:val="16"/>
          <w:szCs w:val="21"/>
        </w:rPr>
        <w:t>）」ことを誓っています。</w:t>
      </w:r>
    </w:p>
    <w:p w14:paraId="46D59010" w14:textId="3A2245FD" w:rsidR="009071D0" w:rsidRPr="009071D0" w:rsidRDefault="009071D0" w:rsidP="009071D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lastRenderedPageBreak/>
        <w:drawing>
          <wp:inline distT="0" distB="0" distL="0" distR="0" wp14:anchorId="177F227A" wp14:editId="5227A8C9">
            <wp:extent cx="5743575" cy="12858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1D0" w:rsidRPr="009071D0" w:rsidSect="00AB10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10B0" w16cex:dateUtc="2023-05-23T01:15:00Z"/>
  <w16cex:commentExtensible w16cex:durableId="2817100C" w16cex:dateUtc="2023-05-23T01:12:00Z"/>
  <w16cex:commentExtensible w16cex:durableId="2817102B" w16cex:dateUtc="2023-05-23T01:12:00Z"/>
  <w16cex:commentExtensible w16cex:durableId="28171040" w16cex:dateUtc="2023-05-23T01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E9A0" w14:textId="77777777" w:rsidR="003E249D" w:rsidRDefault="003E249D" w:rsidP="00840D83">
      <w:r>
        <w:separator/>
      </w:r>
    </w:p>
  </w:endnote>
  <w:endnote w:type="continuationSeparator" w:id="0">
    <w:p w14:paraId="4B48F538" w14:textId="77777777" w:rsidR="003E249D" w:rsidRDefault="003E249D" w:rsidP="0084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0D5A" w14:textId="77777777" w:rsidR="003E249D" w:rsidRDefault="003E249D" w:rsidP="00840D83">
      <w:r>
        <w:separator/>
      </w:r>
    </w:p>
  </w:footnote>
  <w:footnote w:type="continuationSeparator" w:id="0">
    <w:p w14:paraId="6556D2B4" w14:textId="77777777" w:rsidR="003E249D" w:rsidRDefault="003E249D" w:rsidP="0084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3B3F"/>
    <w:multiLevelType w:val="hybridMultilevel"/>
    <w:tmpl w:val="591878D6"/>
    <w:lvl w:ilvl="0" w:tplc="D700DB66">
      <w:numFmt w:val="bullet"/>
      <w:lvlText w:val="●"/>
      <w:lvlJc w:val="left"/>
      <w:pPr>
        <w:ind w:left="8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73"/>
    <w:rsid w:val="000232D5"/>
    <w:rsid w:val="00023931"/>
    <w:rsid w:val="00041F58"/>
    <w:rsid w:val="00067C6F"/>
    <w:rsid w:val="000A407F"/>
    <w:rsid w:val="000B0E2C"/>
    <w:rsid w:val="000D2C01"/>
    <w:rsid w:val="00135BED"/>
    <w:rsid w:val="00177ED5"/>
    <w:rsid w:val="001A1902"/>
    <w:rsid w:val="001D00D3"/>
    <w:rsid w:val="001D1348"/>
    <w:rsid w:val="001E1496"/>
    <w:rsid w:val="00216B5C"/>
    <w:rsid w:val="00227B7E"/>
    <w:rsid w:val="00237D61"/>
    <w:rsid w:val="00240E55"/>
    <w:rsid w:val="0026245C"/>
    <w:rsid w:val="0027665B"/>
    <w:rsid w:val="00281FA7"/>
    <w:rsid w:val="002A31FE"/>
    <w:rsid w:val="002A6F0E"/>
    <w:rsid w:val="002B60B5"/>
    <w:rsid w:val="002C0E08"/>
    <w:rsid w:val="002F4951"/>
    <w:rsid w:val="00320DE2"/>
    <w:rsid w:val="0033670F"/>
    <w:rsid w:val="00340462"/>
    <w:rsid w:val="003950B4"/>
    <w:rsid w:val="003B52B7"/>
    <w:rsid w:val="003E249D"/>
    <w:rsid w:val="003F61FF"/>
    <w:rsid w:val="004020D7"/>
    <w:rsid w:val="004119FF"/>
    <w:rsid w:val="00412130"/>
    <w:rsid w:val="00446B6A"/>
    <w:rsid w:val="00447798"/>
    <w:rsid w:val="0047120E"/>
    <w:rsid w:val="0048431B"/>
    <w:rsid w:val="004C0086"/>
    <w:rsid w:val="00526F10"/>
    <w:rsid w:val="005919E3"/>
    <w:rsid w:val="005A2642"/>
    <w:rsid w:val="005E740B"/>
    <w:rsid w:val="006023AC"/>
    <w:rsid w:val="006202F9"/>
    <w:rsid w:val="00695DDC"/>
    <w:rsid w:val="00696973"/>
    <w:rsid w:val="006B5319"/>
    <w:rsid w:val="007E2867"/>
    <w:rsid w:val="00800D11"/>
    <w:rsid w:val="00840D83"/>
    <w:rsid w:val="008859F4"/>
    <w:rsid w:val="008900D7"/>
    <w:rsid w:val="008F2F54"/>
    <w:rsid w:val="009071D0"/>
    <w:rsid w:val="009318E4"/>
    <w:rsid w:val="009423F5"/>
    <w:rsid w:val="009554FA"/>
    <w:rsid w:val="009A102F"/>
    <w:rsid w:val="009B32A4"/>
    <w:rsid w:val="009C03DF"/>
    <w:rsid w:val="00A01502"/>
    <w:rsid w:val="00A56FDB"/>
    <w:rsid w:val="00A702BD"/>
    <w:rsid w:val="00A74E80"/>
    <w:rsid w:val="00A848B1"/>
    <w:rsid w:val="00AB101A"/>
    <w:rsid w:val="00AB53B1"/>
    <w:rsid w:val="00AB75F7"/>
    <w:rsid w:val="00AC09E1"/>
    <w:rsid w:val="00AD0D21"/>
    <w:rsid w:val="00B323EE"/>
    <w:rsid w:val="00B35DD1"/>
    <w:rsid w:val="00B52D48"/>
    <w:rsid w:val="00B65D36"/>
    <w:rsid w:val="00B65F95"/>
    <w:rsid w:val="00B8716C"/>
    <w:rsid w:val="00B9463C"/>
    <w:rsid w:val="00B94663"/>
    <w:rsid w:val="00B9614D"/>
    <w:rsid w:val="00B97320"/>
    <w:rsid w:val="00C04CF6"/>
    <w:rsid w:val="00C31164"/>
    <w:rsid w:val="00CA317F"/>
    <w:rsid w:val="00CB7FE0"/>
    <w:rsid w:val="00CF4E5B"/>
    <w:rsid w:val="00D10823"/>
    <w:rsid w:val="00D663BD"/>
    <w:rsid w:val="00D71034"/>
    <w:rsid w:val="00DE778A"/>
    <w:rsid w:val="00E21828"/>
    <w:rsid w:val="00E27034"/>
    <w:rsid w:val="00E46495"/>
    <w:rsid w:val="00ED76B8"/>
    <w:rsid w:val="00F476A4"/>
    <w:rsid w:val="00F51E15"/>
    <w:rsid w:val="00FA32BC"/>
    <w:rsid w:val="00F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DFD39"/>
  <w15:docId w15:val="{665B697D-D977-44B6-A9C7-854F8B7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F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0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D83"/>
  </w:style>
  <w:style w:type="paragraph" w:styleId="a7">
    <w:name w:val="footer"/>
    <w:basedOn w:val="a"/>
    <w:link w:val="a8"/>
    <w:uiPriority w:val="99"/>
    <w:unhideWhenUsed/>
    <w:rsid w:val="00840D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D83"/>
  </w:style>
  <w:style w:type="character" w:styleId="a9">
    <w:name w:val="annotation reference"/>
    <w:basedOn w:val="a0"/>
    <w:uiPriority w:val="99"/>
    <w:semiHidden/>
    <w:unhideWhenUsed/>
    <w:rsid w:val="00B871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71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71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871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71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9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9732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9071D0"/>
    <w:pPr>
      <w:widowControl w:val="0"/>
      <w:jc w:val="both"/>
    </w:pPr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Mizuho Securities Co., Ltd.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波多野　敏之(Hatano　Toshiyuki)_ＤＣＭ第三</dc:creator>
  <cp:lastModifiedBy>坂光 由香里</cp:lastModifiedBy>
  <cp:revision>2</cp:revision>
  <cp:lastPrinted>2023-06-09T02:09:00Z</cp:lastPrinted>
  <dcterms:created xsi:type="dcterms:W3CDTF">2023-06-11T23:27:00Z</dcterms:created>
  <dcterms:modified xsi:type="dcterms:W3CDTF">2023-06-11T23:27:00Z</dcterms:modified>
</cp:coreProperties>
</file>